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AB" w:rsidRDefault="00A9394C" w:rsidP="002E1DAB">
      <w:pPr>
        <w:jc w:val="center"/>
        <w:rPr>
          <w:sz w:val="28"/>
        </w:rPr>
      </w:pPr>
      <w:r w:rsidRPr="00A9394C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1724935E" wp14:editId="7136320C">
            <wp:simplePos x="0" y="0"/>
            <wp:positionH relativeFrom="column">
              <wp:posOffset>4140200</wp:posOffset>
            </wp:positionH>
            <wp:positionV relativeFrom="paragraph">
              <wp:posOffset>307340</wp:posOffset>
            </wp:positionV>
            <wp:extent cx="2298700" cy="3221990"/>
            <wp:effectExtent l="0" t="0" r="6350" b="0"/>
            <wp:wrapTight wrapText="bothSides">
              <wp:wrapPolygon edited="0">
                <wp:start x="0" y="0"/>
                <wp:lineTo x="0" y="21455"/>
                <wp:lineTo x="21481" y="21455"/>
                <wp:lineTo x="21481" y="0"/>
                <wp:lineTo x="0" y="0"/>
              </wp:wrapPolygon>
            </wp:wrapTight>
            <wp:docPr id="1" name="Picture 0" descr="eat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righ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DAB" w:rsidRPr="00A9394C">
        <w:rPr>
          <w:sz w:val="28"/>
        </w:rPr>
        <w:t xml:space="preserve">A Health Professional’s </w:t>
      </w:r>
      <w:r w:rsidR="008C5C2F" w:rsidRPr="00A9394C">
        <w:rPr>
          <w:sz w:val="28"/>
        </w:rPr>
        <w:t xml:space="preserve">Abridged </w:t>
      </w:r>
      <w:r w:rsidR="002E1DAB" w:rsidRPr="00A9394C">
        <w:rPr>
          <w:sz w:val="28"/>
        </w:rPr>
        <w:t>Resource Guide to National Nutrition Month</w:t>
      </w:r>
    </w:p>
    <w:p w:rsidR="00A9394C" w:rsidRPr="00A9394C" w:rsidRDefault="00A9394C" w:rsidP="002E1DAB">
      <w:pPr>
        <w:jc w:val="center"/>
        <w:rPr>
          <w:sz w:val="28"/>
        </w:rPr>
      </w:pPr>
    </w:p>
    <w:p w:rsidR="002E1DAB" w:rsidRDefault="002E1DAB" w:rsidP="002E1DAB">
      <w:r>
        <w:t>With March just around the corner, it is that time of year again to celebrate and promote healthy eating and nutrition.  As Health Professionals, planning for National Nutrition Month</w:t>
      </w:r>
      <w:r w:rsidR="00225616">
        <w:t xml:space="preserve"> </w:t>
      </w:r>
      <w:r w:rsidR="008B4995">
        <w:t>can be time-consuming and finding teaching resources tedious</w:t>
      </w:r>
      <w:r w:rsidR="00A9394C">
        <w:t xml:space="preserve"> at times</w:t>
      </w:r>
      <w:r w:rsidR="008B4995">
        <w:t xml:space="preserve">.  This guide </w:t>
      </w:r>
      <w:r w:rsidR="00A9394C">
        <w:t>serves as an</w:t>
      </w:r>
      <w:r w:rsidR="008B4995">
        <w:t xml:space="preserve"> easy way to locate credible resources for every age </w:t>
      </w:r>
      <w:r w:rsidR="00A9394C">
        <w:t>group</w:t>
      </w:r>
      <w:r w:rsidR="008B4995">
        <w:t xml:space="preserve">.  </w:t>
      </w:r>
    </w:p>
    <w:p w:rsidR="008B4995" w:rsidRDefault="008B4995" w:rsidP="002E1DAB">
      <w:r>
        <w:t>The 2013 Theme: Eat right, your way, every day</w:t>
      </w:r>
    </w:p>
    <w:p w:rsidR="008B4995" w:rsidRDefault="008B4995" w:rsidP="00D43021">
      <w:pPr>
        <w:ind w:firstLine="720"/>
      </w:pPr>
      <w:r>
        <w:t>Translation:</w:t>
      </w:r>
      <w:r w:rsidR="00D43021">
        <w:t xml:space="preserve"> A person’s eating habits are impacted by</w:t>
      </w:r>
      <w:r>
        <w:t xml:space="preserve"> </w:t>
      </w:r>
      <w:r w:rsidR="00D43021">
        <w:t>f</w:t>
      </w:r>
      <w:r>
        <w:t>ood preferences, lifestyle, cultural &amp; ethnic traditions, and health concerns</w:t>
      </w:r>
      <w:r w:rsidR="00D43021">
        <w:t xml:space="preserve">. </w:t>
      </w:r>
      <w:r>
        <w:t xml:space="preserve"> </w:t>
      </w:r>
      <w:r w:rsidR="00D43021">
        <w:t xml:space="preserve">Therefore, the theme promotes personalized healthy eating that is specific for each individual. </w:t>
      </w:r>
      <w:r>
        <w:t xml:space="preserve"> </w:t>
      </w:r>
    </w:p>
    <w:p w:rsidR="008B4995" w:rsidRDefault="00D43021" w:rsidP="002E1DAB">
      <w:r>
        <w:t xml:space="preserve">Resources: </w:t>
      </w:r>
    </w:p>
    <w:p w:rsidR="002E1DAB" w:rsidRDefault="002E1DAB" w:rsidP="008C5C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43021" w:rsidTr="00D43021">
        <w:tc>
          <w:tcPr>
            <w:tcW w:w="3192" w:type="dxa"/>
          </w:tcPr>
          <w:p w:rsidR="00D43021" w:rsidRDefault="00D43021" w:rsidP="008C5C2F">
            <w:pPr>
              <w:jc w:val="center"/>
            </w:pPr>
            <w:r>
              <w:t>Elementary Aged Children</w:t>
            </w:r>
          </w:p>
        </w:tc>
        <w:tc>
          <w:tcPr>
            <w:tcW w:w="3192" w:type="dxa"/>
          </w:tcPr>
          <w:p w:rsidR="00D43021" w:rsidRDefault="00D43021" w:rsidP="008C5C2F">
            <w:pPr>
              <w:jc w:val="center"/>
            </w:pPr>
            <w:r>
              <w:t>Young Adults</w:t>
            </w:r>
          </w:p>
        </w:tc>
        <w:tc>
          <w:tcPr>
            <w:tcW w:w="3192" w:type="dxa"/>
          </w:tcPr>
          <w:p w:rsidR="00D43021" w:rsidRDefault="00D43021" w:rsidP="008C5C2F">
            <w:pPr>
              <w:jc w:val="center"/>
            </w:pPr>
            <w:r>
              <w:t>Adults</w:t>
            </w:r>
          </w:p>
        </w:tc>
      </w:tr>
      <w:tr w:rsidR="00D43021" w:rsidTr="008C5C2F">
        <w:tc>
          <w:tcPr>
            <w:tcW w:w="3192" w:type="dxa"/>
            <w:vAlign w:val="center"/>
          </w:tcPr>
          <w:p w:rsidR="00D43021" w:rsidRDefault="008C5C2F" w:rsidP="008C5C2F">
            <w:pPr>
              <w:jc w:val="center"/>
            </w:pPr>
            <w:hyperlink r:id="rId6" w:anchor=".URA2BGfoGCI" w:history="1">
              <w:r w:rsidR="00D43021" w:rsidRPr="008C5C2F">
                <w:rPr>
                  <w:rStyle w:val="Hyperlink"/>
                </w:rPr>
                <w:t>Kids Word Search</w:t>
              </w:r>
            </w:hyperlink>
          </w:p>
        </w:tc>
        <w:tc>
          <w:tcPr>
            <w:tcW w:w="3192" w:type="dxa"/>
            <w:vAlign w:val="center"/>
          </w:tcPr>
          <w:p w:rsidR="00D43021" w:rsidRPr="008C5C2F" w:rsidRDefault="008C5C2F" w:rsidP="008C5C2F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"http://www.eatright.org/nnm/handoutsandtipsheets/" \l ".URA2BGfoGCI" </w:instrText>
            </w:r>
            <w:r>
              <w:fldChar w:fldCharType="separate"/>
            </w:r>
            <w:r w:rsidR="00D43021" w:rsidRPr="008C5C2F">
              <w:rPr>
                <w:rStyle w:val="Hyperlink"/>
              </w:rPr>
              <w:t>10 Steps to Healthy Eating</w:t>
            </w:r>
          </w:p>
          <w:p w:rsidR="00D43021" w:rsidRDefault="00D43021" w:rsidP="008C5C2F">
            <w:pPr>
              <w:jc w:val="center"/>
            </w:pPr>
            <w:r w:rsidRPr="008C5C2F">
              <w:rPr>
                <w:rStyle w:val="Hyperlink"/>
              </w:rPr>
              <w:t>(fill in the blank)</w:t>
            </w:r>
            <w:r w:rsidR="008C5C2F">
              <w:fldChar w:fldCharType="end"/>
            </w:r>
          </w:p>
        </w:tc>
        <w:tc>
          <w:tcPr>
            <w:tcW w:w="3192" w:type="dxa"/>
            <w:vAlign w:val="center"/>
          </w:tcPr>
          <w:p w:rsidR="00D43021" w:rsidRDefault="008C5C2F" w:rsidP="008C5C2F">
            <w:pPr>
              <w:jc w:val="center"/>
            </w:pPr>
            <w:hyperlink r:id="rId7" w:anchor=".URA2BGfoGCI" w:history="1">
              <w:r w:rsidR="00C02914" w:rsidRPr="008C5C2F">
                <w:rPr>
                  <w:rStyle w:val="Hyperlink"/>
                </w:rPr>
                <w:t xml:space="preserve">Adult </w:t>
              </w:r>
              <w:proofErr w:type="spellStart"/>
              <w:r w:rsidR="00C02914" w:rsidRPr="008C5C2F">
                <w:rPr>
                  <w:rStyle w:val="Hyperlink"/>
                </w:rPr>
                <w:t>Soduku</w:t>
              </w:r>
              <w:proofErr w:type="spellEnd"/>
            </w:hyperlink>
          </w:p>
        </w:tc>
      </w:tr>
      <w:tr w:rsidR="00D43021" w:rsidTr="008C5C2F">
        <w:trPr>
          <w:trHeight w:val="638"/>
        </w:trPr>
        <w:tc>
          <w:tcPr>
            <w:tcW w:w="3192" w:type="dxa"/>
            <w:vAlign w:val="center"/>
          </w:tcPr>
          <w:p w:rsidR="00D43021" w:rsidRDefault="008C5C2F" w:rsidP="008C5C2F">
            <w:pPr>
              <w:jc w:val="center"/>
            </w:pPr>
            <w:hyperlink r:id="rId8" w:anchor=".URA2BGfoGCI" w:history="1">
              <w:r w:rsidR="00D43021" w:rsidRPr="008C5C2F">
                <w:rPr>
                  <w:rStyle w:val="Hyperlink"/>
                </w:rPr>
                <w:t>Draw your Healthy Plate</w:t>
              </w:r>
            </w:hyperlink>
          </w:p>
        </w:tc>
        <w:tc>
          <w:tcPr>
            <w:tcW w:w="3192" w:type="dxa"/>
            <w:vAlign w:val="center"/>
          </w:tcPr>
          <w:p w:rsidR="00D43021" w:rsidRDefault="008C5C2F" w:rsidP="008C5C2F">
            <w:pPr>
              <w:jc w:val="center"/>
            </w:pPr>
            <w:hyperlink r:id="rId9" w:history="1">
              <w:r w:rsidR="00C02914" w:rsidRPr="008C5C2F">
                <w:rPr>
                  <w:rStyle w:val="Hyperlink"/>
                </w:rPr>
                <w:t>Whole Grain Scramble</w:t>
              </w:r>
            </w:hyperlink>
          </w:p>
        </w:tc>
        <w:tc>
          <w:tcPr>
            <w:tcW w:w="3192" w:type="dxa"/>
            <w:vAlign w:val="center"/>
          </w:tcPr>
          <w:p w:rsidR="00D43021" w:rsidRDefault="008C5C2F" w:rsidP="008C5C2F">
            <w:pPr>
              <w:jc w:val="center"/>
            </w:pPr>
            <w:hyperlink r:id="rId10" w:anchor=".URA2BGfoGCI" w:history="1">
              <w:r w:rsidR="00C02914" w:rsidRPr="008C5C2F">
                <w:rPr>
                  <w:rStyle w:val="Hyperlink"/>
                </w:rPr>
                <w:t>20 Ways to Enjoy more Fruits and Vegetables</w:t>
              </w:r>
            </w:hyperlink>
          </w:p>
        </w:tc>
      </w:tr>
      <w:tr w:rsidR="00D43021" w:rsidTr="008C5C2F">
        <w:tc>
          <w:tcPr>
            <w:tcW w:w="3192" w:type="dxa"/>
            <w:vAlign w:val="center"/>
          </w:tcPr>
          <w:p w:rsidR="00D43021" w:rsidRDefault="008C5C2F" w:rsidP="008C5C2F">
            <w:pPr>
              <w:jc w:val="center"/>
            </w:pPr>
            <w:hyperlink r:id="rId11" w:history="1">
              <w:r w:rsidR="00C02914" w:rsidRPr="008C5C2F">
                <w:rPr>
                  <w:rStyle w:val="Hyperlink"/>
                </w:rPr>
                <w:t>Berry Tales Activity</w:t>
              </w:r>
            </w:hyperlink>
          </w:p>
        </w:tc>
        <w:tc>
          <w:tcPr>
            <w:tcW w:w="3192" w:type="dxa"/>
            <w:vAlign w:val="center"/>
          </w:tcPr>
          <w:p w:rsidR="00D43021" w:rsidRDefault="008C5C2F" w:rsidP="008C5C2F">
            <w:pPr>
              <w:jc w:val="center"/>
            </w:pPr>
            <w:hyperlink r:id="rId12" w:history="1">
              <w:r w:rsidRPr="008C5C2F">
                <w:rPr>
                  <w:rStyle w:val="Hyperlink"/>
                </w:rPr>
                <w:t>Healthy Meals on the Run</w:t>
              </w:r>
            </w:hyperlink>
            <w:r>
              <w:t xml:space="preserve"> </w:t>
            </w:r>
          </w:p>
        </w:tc>
        <w:tc>
          <w:tcPr>
            <w:tcW w:w="3192" w:type="dxa"/>
            <w:vAlign w:val="center"/>
          </w:tcPr>
          <w:p w:rsidR="00D43021" w:rsidRDefault="00A9394C" w:rsidP="008C5C2F">
            <w:pPr>
              <w:jc w:val="center"/>
            </w:pPr>
            <w:hyperlink r:id="rId13" w:history="1">
              <w:r w:rsidR="00C02914" w:rsidRPr="00C02914">
                <w:rPr>
                  <w:rStyle w:val="Hyperlink"/>
                </w:rPr>
                <w:t xml:space="preserve">Healthy Options </w:t>
              </w:r>
              <w:r w:rsidR="008C5C2F">
                <w:rPr>
                  <w:rStyle w:val="Hyperlink"/>
                </w:rPr>
                <w:t>A</w:t>
              </w:r>
              <w:r w:rsidR="00C02914" w:rsidRPr="00C02914">
                <w:rPr>
                  <w:rStyle w:val="Hyperlink"/>
                </w:rPr>
                <w:t xml:space="preserve">way from </w:t>
              </w:r>
              <w:r w:rsidR="008C5C2F">
                <w:rPr>
                  <w:rStyle w:val="Hyperlink"/>
                </w:rPr>
                <w:t>H</w:t>
              </w:r>
              <w:r w:rsidR="00C02914" w:rsidRPr="00C02914">
                <w:rPr>
                  <w:rStyle w:val="Hyperlink"/>
                </w:rPr>
                <w:t>ome</w:t>
              </w:r>
            </w:hyperlink>
          </w:p>
        </w:tc>
      </w:tr>
      <w:tr w:rsidR="00D43021" w:rsidTr="008C5C2F">
        <w:tc>
          <w:tcPr>
            <w:tcW w:w="3192" w:type="dxa"/>
            <w:vAlign w:val="center"/>
          </w:tcPr>
          <w:p w:rsidR="00D43021" w:rsidRDefault="008C5C2F" w:rsidP="008C5C2F">
            <w:pPr>
              <w:jc w:val="center"/>
            </w:pPr>
            <w:hyperlink r:id="rId14" w:history="1">
              <w:r w:rsidRPr="00C02914">
                <w:rPr>
                  <w:rStyle w:val="Hyperlink"/>
                </w:rPr>
                <w:t xml:space="preserve">Serving Up </w:t>
              </w:r>
              <w:proofErr w:type="spellStart"/>
              <w:r w:rsidRPr="00C02914">
                <w:rPr>
                  <w:rStyle w:val="Hyperlink"/>
                </w:rPr>
                <w:t>MyPlate</w:t>
              </w:r>
              <w:proofErr w:type="spellEnd"/>
            </w:hyperlink>
          </w:p>
        </w:tc>
        <w:tc>
          <w:tcPr>
            <w:tcW w:w="3192" w:type="dxa"/>
            <w:vAlign w:val="center"/>
          </w:tcPr>
          <w:p w:rsidR="00D43021" w:rsidRDefault="00A9394C" w:rsidP="008C5C2F">
            <w:pPr>
              <w:jc w:val="center"/>
            </w:pPr>
            <w:hyperlink r:id="rId15" w:history="1">
              <w:r w:rsidR="00C02914" w:rsidRPr="00C02914">
                <w:rPr>
                  <w:rStyle w:val="Hyperlink"/>
                </w:rPr>
                <w:t>Nutrition Voyage Activities</w:t>
              </w:r>
            </w:hyperlink>
          </w:p>
        </w:tc>
        <w:tc>
          <w:tcPr>
            <w:tcW w:w="3192" w:type="dxa"/>
            <w:vAlign w:val="center"/>
          </w:tcPr>
          <w:p w:rsidR="00D43021" w:rsidRDefault="00D43021" w:rsidP="008C5C2F">
            <w:pPr>
              <w:jc w:val="center"/>
            </w:pPr>
          </w:p>
        </w:tc>
      </w:tr>
    </w:tbl>
    <w:p w:rsidR="00D43021" w:rsidRDefault="00D43021" w:rsidP="002E1DAB">
      <w:pPr>
        <w:sectPr w:rsidR="00D43021" w:rsidSect="00D430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1DAB" w:rsidRDefault="002E1DAB" w:rsidP="00D43021">
      <w:pPr>
        <w:jc w:val="center"/>
        <w:sectPr w:rsidR="002E1DAB" w:rsidSect="00D43021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:rsidR="002E1DAB" w:rsidRDefault="002E1DAB" w:rsidP="002E1DAB">
      <w:pPr>
        <w:sectPr w:rsidR="002E1DAB" w:rsidSect="00D430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</w:p>
    <w:p w:rsidR="002E1DAB" w:rsidRDefault="002E1DAB" w:rsidP="002E1DAB">
      <w:bookmarkStart w:id="0" w:name="_GoBack"/>
      <w:bookmarkEnd w:id="0"/>
    </w:p>
    <w:sectPr w:rsidR="002E1DAB" w:rsidSect="00D43021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AB"/>
    <w:rsid w:val="00225616"/>
    <w:rsid w:val="002E1DAB"/>
    <w:rsid w:val="008B4995"/>
    <w:rsid w:val="008C5C2F"/>
    <w:rsid w:val="00A9394C"/>
    <w:rsid w:val="00C02914"/>
    <w:rsid w:val="00D43021"/>
    <w:rsid w:val="00D5108E"/>
    <w:rsid w:val="00DA6FCB"/>
    <w:rsid w:val="00FB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430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D430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D430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D430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430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02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430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D430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D430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D430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430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02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right.org/nnm/handoutsandtipsheets/" TargetMode="External"/><Relationship Id="rId13" Type="http://schemas.openxmlformats.org/officeDocument/2006/relationships/hyperlink" Target="http://www.network-toolbox.cdph.ca.gov/en/OnTheGo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tright.org/nnm/handoutsandtipsheets/" TargetMode="External"/><Relationship Id="rId12" Type="http://schemas.openxmlformats.org/officeDocument/2006/relationships/hyperlink" Target="http://www.weebly.com/uploads/1/3/3/8/13387965/nutrition_month_article-_march_2013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atright.org/nnm/handoutsandtipsheets/" TargetMode="External"/><Relationship Id="rId11" Type="http://schemas.openxmlformats.org/officeDocument/2006/relationships/hyperlink" Target="http://md.nutrition-ed.org/tmp/Berry_Tales_01.pd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teamnutrition.usda.gov/Resources/nutritionvoyage.htm" TargetMode="External"/><Relationship Id="rId10" Type="http://schemas.openxmlformats.org/officeDocument/2006/relationships/hyperlink" Target="http://www.eatright.org/nnm/handoutsandtipshee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osemyplate.gov/downloads/WholeGrainScramble.pdf" TargetMode="External"/><Relationship Id="rId14" Type="http://schemas.openxmlformats.org/officeDocument/2006/relationships/hyperlink" Target="http://teamnutrition.usda.gov/Resources/servingupmypla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train07</dc:creator>
  <cp:lastModifiedBy>Margery Swan</cp:lastModifiedBy>
  <cp:revision>3</cp:revision>
  <dcterms:created xsi:type="dcterms:W3CDTF">2013-02-04T22:32:00Z</dcterms:created>
  <dcterms:modified xsi:type="dcterms:W3CDTF">2013-02-04T22:33:00Z</dcterms:modified>
</cp:coreProperties>
</file>